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F7" w:rsidRDefault="000112F7" w:rsidP="000112F7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6440D1">
        <w:rPr>
          <w:rFonts w:ascii="Calibri" w:hAnsi="Calibri" w:cs="Calibri"/>
          <w:b/>
          <w:bCs/>
          <w:sz w:val="16"/>
          <w:szCs w:val="16"/>
        </w:rPr>
        <w:t xml:space="preserve">STRUTTURA: </w:t>
      </w:r>
      <w:r w:rsidR="00303EDE">
        <w:rPr>
          <w:rFonts w:ascii="Calibri" w:hAnsi="Calibri" w:cs="Calibri"/>
          <w:b/>
          <w:bCs/>
          <w:sz w:val="16"/>
          <w:szCs w:val="16"/>
        </w:rPr>
        <w:t xml:space="preserve">SETTORE II – ECONOMICO </w:t>
      </w:r>
      <w:r w:rsidR="00400FFC">
        <w:rPr>
          <w:rFonts w:ascii="Calibri" w:hAnsi="Calibri" w:cs="Calibri"/>
          <w:b/>
          <w:bCs/>
          <w:sz w:val="16"/>
          <w:szCs w:val="16"/>
        </w:rPr>
        <w:t xml:space="preserve">E </w:t>
      </w:r>
      <w:r w:rsidR="00303EDE">
        <w:rPr>
          <w:rFonts w:ascii="Calibri" w:hAnsi="Calibri" w:cs="Calibri"/>
          <w:b/>
          <w:bCs/>
          <w:sz w:val="16"/>
          <w:szCs w:val="16"/>
        </w:rPr>
        <w:t>FINANZIARIO</w:t>
      </w:r>
      <w:r>
        <w:rPr>
          <w:rFonts w:ascii="Calibri" w:hAnsi="Calibri" w:cs="Calibri"/>
          <w:b/>
          <w:bCs/>
          <w:sz w:val="16"/>
          <w:szCs w:val="16"/>
        </w:rPr>
        <w:t xml:space="preserve"> –</w:t>
      </w:r>
      <w:r w:rsidR="00303EDE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6440D1">
        <w:rPr>
          <w:rFonts w:ascii="Calibri" w:hAnsi="Calibri" w:cs="Calibri"/>
          <w:b/>
          <w:bCs/>
          <w:sz w:val="16"/>
          <w:szCs w:val="16"/>
        </w:rPr>
        <w:t xml:space="preserve">RESPONSABILE: </w:t>
      </w:r>
      <w:r>
        <w:rPr>
          <w:rFonts w:ascii="Calibri" w:hAnsi="Calibri" w:cs="Calibri"/>
          <w:b/>
          <w:bCs/>
          <w:sz w:val="16"/>
          <w:szCs w:val="16"/>
        </w:rPr>
        <w:t>DR. SALVATORE TILLIECI</w:t>
      </w:r>
    </w:p>
    <w:p w:rsidR="000112F7" w:rsidRDefault="000112F7" w:rsidP="000112F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0112F7" w:rsidRPr="006440D1" w:rsidTr="00555869">
        <w:trPr>
          <w:trHeight w:val="406"/>
        </w:trPr>
        <w:tc>
          <w:tcPr>
            <w:tcW w:w="670" w:type="pct"/>
          </w:tcPr>
          <w:p w:rsidR="000112F7" w:rsidRPr="006440D1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0112F7" w:rsidRPr="006440D1" w:rsidRDefault="000112F7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0112F7" w:rsidRPr="006440D1" w:rsidTr="00555869">
        <w:trPr>
          <w:trHeight w:val="406"/>
        </w:trPr>
        <w:tc>
          <w:tcPr>
            <w:tcW w:w="670" w:type="pct"/>
          </w:tcPr>
          <w:p w:rsidR="000112F7" w:rsidRPr="006440D1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0112F7" w:rsidRPr="006440D1" w:rsidRDefault="000112F7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Gestire e migliorare l'Amministrazione e il funzionamento dei servizi generali e dei servizi di supporto interni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; </w:t>
            </w:r>
          </w:p>
        </w:tc>
      </w:tr>
      <w:tr w:rsidR="000112F7" w:rsidRPr="006440D1" w:rsidTr="00555869">
        <w:trPr>
          <w:trHeight w:val="406"/>
        </w:trPr>
        <w:tc>
          <w:tcPr>
            <w:tcW w:w="670" w:type="pct"/>
          </w:tcPr>
          <w:p w:rsidR="000112F7" w:rsidRPr="006440D1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0112F7" w:rsidRPr="006440D1" w:rsidRDefault="000112F7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Servizi istituzionali, generali e di gestione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; </w:t>
            </w:r>
          </w:p>
        </w:tc>
      </w:tr>
      <w:tr w:rsidR="000112F7" w:rsidRPr="006440D1" w:rsidTr="00555869">
        <w:trPr>
          <w:trHeight w:val="406"/>
        </w:trPr>
        <w:tc>
          <w:tcPr>
            <w:tcW w:w="670" w:type="pct"/>
          </w:tcPr>
          <w:p w:rsidR="000112F7" w:rsidRPr="006440D1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0112F7" w:rsidRPr="006440D1" w:rsidRDefault="000112F7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440D1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0112F7" w:rsidRDefault="000112F7" w:rsidP="000112F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/>
      </w:tblPr>
      <w:tblGrid>
        <w:gridCol w:w="528"/>
        <w:gridCol w:w="5304"/>
        <w:gridCol w:w="671"/>
        <w:gridCol w:w="3395"/>
        <w:gridCol w:w="3601"/>
        <w:gridCol w:w="1004"/>
      </w:tblGrid>
      <w:tr w:rsidR="000112F7" w:rsidRPr="006440D1" w:rsidTr="00C0606E"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440D1" w:rsidRDefault="000112F7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6440D1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6440D1" w:rsidRDefault="000112F7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Descrizione Obiettivi Operativi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440D1" w:rsidRDefault="000112F7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6440D1" w:rsidRDefault="000112F7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440D1" w:rsidRDefault="000112F7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440D1" w:rsidRDefault="000112F7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40D1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0112F7" w:rsidRPr="00303EDE" w:rsidTr="00C0606E">
        <w:trPr>
          <w:trHeight w:val="458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303EDE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303E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 xml:space="preserve">Sezioni di Amministrazione Trasparente di competenza. </w:t>
            </w:r>
          </w:p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Corretto caricamento di tutti i documenti previsti dalla normativa sulle sezioni di amministrazione trasparente, nel rispetto del corretto trattamento dei dati personali.</w:t>
            </w:r>
          </w:p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Tempestiva risposta a tutte le richieste di accesso agli atti.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C0606E" w:rsidRDefault="000112F7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0606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0112F7" w:rsidRPr="00303EDE" w:rsidTr="00C0606E">
        <w:trPr>
          <w:trHeight w:val="458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pubblicazione dei documenti previsti su amministrazione trasparente. 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0112F7" w:rsidRPr="00303EDE" w:rsidTr="00C0606E">
        <w:trPr>
          <w:trHeight w:val="863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303E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Rispetto delle previsioni normative e regolamentari interne.</w:t>
            </w:r>
          </w:p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Adempimenti relativi al PTPTC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Partecipazione alla redazione del PTPCT, con analisi delle aree di rischio di competenza, produzione dei report richiesti sulle attività di prevenzione della corruzione intraprese.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C0606E" w:rsidRDefault="000112F7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0606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0112F7" w:rsidRPr="00303EDE" w:rsidTr="00C0606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val="600"/>
        </w:trPr>
        <w:tc>
          <w:tcPr>
            <w:tcW w:w="187" w:type="pct"/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1833" w:type="pct"/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sull’implementazione del piano anticorruzione.</w:t>
            </w:r>
          </w:p>
        </w:tc>
        <w:tc>
          <w:tcPr>
            <w:tcW w:w="231" w:type="pct"/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(100%)</w:t>
            </w:r>
          </w:p>
        </w:tc>
        <w:tc>
          <w:tcPr>
            <w:tcW w:w="1175" w:type="pct"/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semestrale o annuale sull’anticorruzione.</w:t>
            </w:r>
          </w:p>
        </w:tc>
        <w:tc>
          <w:tcPr>
            <w:tcW w:w="1246" w:type="pct"/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Compilazione delle schede di monitoraggio sulle aree di rischio di appartenenza e gli atti adottati.</w:t>
            </w:r>
          </w:p>
        </w:tc>
        <w:tc>
          <w:tcPr>
            <w:tcW w:w="328" w:type="pct"/>
          </w:tcPr>
          <w:p w:rsidR="000112F7" w:rsidRPr="00303EDE" w:rsidRDefault="000112F7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0112F7" w:rsidRPr="00303EDE" w:rsidTr="00C0606E">
        <w:trPr>
          <w:trHeight w:val="629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Processo di trasformazione digitale dei servizi dell’Ente: s</w:t>
            </w:r>
            <w:r w:rsidRPr="00303EDE">
              <w:rPr>
                <w:rFonts w:ascii="Calibri" w:eastAsia="Calibri" w:hAnsi="Calibri" w:cs="Calibri"/>
                <w:b/>
                <w:color w:val="3F3F3F"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14402E" w:rsidP="00303E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BA4FBF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Informatizzazione della procedura di accesso ai servizi dell’ente da parte degli utenti.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Aggiornamento e pubblicazione online di tutta la modulistica relativa ai servizi gestiti.</w:t>
            </w:r>
          </w:p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Attivazione e verifica del funzionamento dell’accesso online ai servizi dell’Ente.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C0606E" w:rsidRDefault="000112F7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0606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0112F7" w:rsidRPr="00303EDE" w:rsidTr="00C0606E">
        <w:trPr>
          <w:trHeight w:val="1021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Formazione nativa dei documenti amministrativi in formato digitale – Pubblicazione dei documenti ed atti sul sito istituzionale nel rispetto dei requisiti di accessibilità.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Rispetto dell’obbligo:</w:t>
            </w:r>
          </w:p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- di formazione nativa del documento amministrativo;</w:t>
            </w:r>
          </w:p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- di rispetto dei requisiti di accessibilità degli atti pubblicati sui siti web delle p.a.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pStyle w:val="Default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Formazione di tutti i documenti amministrativi (comprese lettere, istanze etc. che abbiano quali destinatari soggetti iscritti in IPA ed INI-PEC) in formato digitale;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31.05.2022</w:t>
            </w:r>
          </w:p>
        </w:tc>
      </w:tr>
      <w:tr w:rsidR="000112F7" w:rsidRPr="00303EDE" w:rsidTr="00C0606E">
        <w:trPr>
          <w:trHeight w:val="545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3.2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Utilizzo del gestionale per la creazione, sottoscrizione e pubblicazione delle Autorizzazioni dirigenziali.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Informatizzazione della procedura per il rilascio delle Autorizzazioni dirigenziali.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100% delle autorizzazioni rilasciate in formato digitale.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31.07.2022</w:t>
            </w:r>
          </w:p>
        </w:tc>
      </w:tr>
      <w:tr w:rsidR="000112F7" w:rsidRPr="00303EDE" w:rsidTr="00C0606E">
        <w:trPr>
          <w:trHeight w:val="545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3.3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Aggiornamento della modulistica on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line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Revisione della modulistica per l’accesso ai servizi gestiti.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sul sito istituzionale in formato word e pdf di tutta la modulistica aggiornata relativa ai servizi specifici del Settore e necessaria all’attivazione dello sportello online per gli utenti.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30.09.2022</w:t>
            </w:r>
          </w:p>
        </w:tc>
      </w:tr>
      <w:tr w:rsidR="000112F7" w:rsidRPr="00303EDE" w:rsidTr="00C0606E">
        <w:trPr>
          <w:trHeight w:val="545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3.4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Individuazione e attivazione delle entrate da riscuotere obbligatoriamente tramite sistema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sul portale cittadino digitale.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Analisi della tassonomia pubblicata da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Agid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con tutte le tipologie di entrata da riscuotere tramite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Individuazione delle tipologie di entrata da attivare sul portale cittadino digitale per la riscossione tramite </w:t>
            </w:r>
            <w:proofErr w:type="spellStart"/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PagoPA</w:t>
            </w:r>
            <w:proofErr w:type="spellEnd"/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0112F7" w:rsidRPr="00303EDE" w:rsidTr="00C0606E">
        <w:trPr>
          <w:trHeight w:val="1104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Monitoraggio del rispetto dei tempi medi di pagamento dei fornitori previsti dalla legge, attraverso una più tempestiva attività d’impegno e determinazione per la liquidazione consentendo all’ufficio ragioneria di emettere i mandati di pagamento in modo tempestivo rispettando l’ordine temporale di fatturazione.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303E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sz w:val="16"/>
                <w:szCs w:val="16"/>
              </w:rPr>
              <w:t>10%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Tempi medi di pagamento dell’ente.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Tempi medi di pagamento entro i 30 gg.</w:t>
            </w:r>
          </w:p>
          <w:p w:rsidR="000112F7" w:rsidRPr="006604C1" w:rsidRDefault="000112F7" w:rsidP="00555869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604C1">
              <w:rPr>
                <w:rFonts w:ascii="Calibri" w:hAnsi="Calibri" w:cs="Calibri"/>
                <w:b/>
                <w:sz w:val="16"/>
                <w:szCs w:val="16"/>
              </w:rPr>
              <w:t>Valore indicatore annuale pubblicato sul sito uguale a 0.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C0606E" w:rsidRDefault="000112F7" w:rsidP="0055586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0606E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0112F7" w:rsidRPr="00303EDE" w:rsidTr="00C0606E">
        <w:trPr>
          <w:trHeight w:val="1104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4.1.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monitoraggio trimestrale sul rispetto dei tempi medi di pagamento.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(50%)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Verifica dell’indicatore trimestrale di rispetto dei tempi medi di pagamento.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Rispetto del limite temporale di pagamento entro 30 gg.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30.06.2022</w:t>
            </w:r>
          </w:p>
        </w:tc>
      </w:tr>
      <w:tr w:rsidR="000112F7" w:rsidRPr="00303EDE" w:rsidTr="00C0606E">
        <w:trPr>
          <w:trHeight w:val="1104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4.2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Fase: pubblicazione dei dati sulla sezione amministrazione trasparente.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(50%)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degli indicatori previsti.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12F7" w:rsidRPr="00303EDE" w:rsidRDefault="000112F7" w:rsidP="00555869">
            <w:pPr>
              <w:rPr>
                <w:rFonts w:ascii="Calibri" w:hAnsi="Calibri" w:cs="Calibri"/>
                <w:sz w:val="16"/>
                <w:szCs w:val="16"/>
              </w:rPr>
            </w:pPr>
            <w:r w:rsidRPr="00303EDE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54567D" w:rsidRPr="00303EDE" w:rsidTr="00FE3869">
        <w:trPr>
          <w:trHeight w:val="1104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555869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303EDE" w:rsidRDefault="0054567D" w:rsidP="00F27965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03EDE">
              <w:rPr>
                <w:rFonts w:ascii="Calibri" w:eastAsia="Times New Roman" w:hAnsi="Calibri" w:cs="Calibri"/>
                <w:b/>
                <w:sz w:val="16"/>
                <w:szCs w:val="16"/>
              </w:rPr>
              <w:t>Redazione bilancio di previsione 2022/2024</w:t>
            </w:r>
          </w:p>
          <w:p w:rsidR="0054567D" w:rsidRPr="00303EDE" w:rsidRDefault="0054567D" w:rsidP="00F27965">
            <w:pPr>
              <w:spacing w:line="240" w:lineRule="auto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0963C2" w:rsidP="000963C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10%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0963C2" w:rsidRDefault="0054567D" w:rsidP="008F343F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Regolare gestione delle entrate e delle spese nel documento di bilancio, predisposizione ed approvazione dei documenti entro i termini di legge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555869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Redazione del documento di bilancio , nel rispetto delle prescrizioni e dei termini di legge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4567D" w:rsidRPr="00A8665B" w:rsidRDefault="0054567D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A8665B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31.03.2022</w:t>
            </w:r>
          </w:p>
        </w:tc>
      </w:tr>
      <w:tr w:rsidR="0054567D" w:rsidRPr="00303EDE" w:rsidTr="00C0606E">
        <w:trPr>
          <w:trHeight w:val="1104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555869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lastRenderedPageBreak/>
              <w:t>6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0963C2" w:rsidRDefault="0054567D" w:rsidP="00F27965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proofErr w:type="spellStart"/>
            <w:r w:rsidRPr="000963C2">
              <w:rPr>
                <w:rFonts w:ascii="Calibri" w:eastAsia="Times New Roman" w:hAnsi="Calibri" w:cs="Calibri"/>
                <w:b/>
                <w:sz w:val="16"/>
                <w:szCs w:val="16"/>
              </w:rPr>
              <w:t>Riaccertamento</w:t>
            </w:r>
            <w:proofErr w:type="spellEnd"/>
            <w:r w:rsidRPr="000963C2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ordinario dei residui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0963C2" w:rsidP="000963C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15%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0963C2" w:rsidRDefault="0054567D" w:rsidP="008F343F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Corretta individuazione dei residui attivi e passivi in collaborazione con gli altri centri di costo – Approvazione nel rispetto delle prescrizioni di legge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555869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Redazione del </w:t>
            </w:r>
            <w:proofErr w:type="spellStart"/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riacce</w:t>
            </w:r>
            <w:r w:rsidR="00CA551F">
              <w:rPr>
                <w:rFonts w:ascii="Calibri" w:hAnsi="Calibri" w:cs="Calibri"/>
                <w:b/>
                <w:iCs/>
                <w:sz w:val="16"/>
                <w:szCs w:val="16"/>
              </w:rPr>
              <w:t>rtamento</w:t>
            </w:r>
            <w:proofErr w:type="spellEnd"/>
            <w:r w:rsidR="00CA551F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ordinario dei residui,</w:t>
            </w: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 xml:space="preserve"> nel rispetto delle prescrizioni e dei termini di legge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A8665B" w:rsidRDefault="00CA551F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30.03</w:t>
            </w:r>
            <w:r w:rsidR="0054567D" w:rsidRPr="00A8665B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.2022</w:t>
            </w:r>
          </w:p>
        </w:tc>
      </w:tr>
      <w:tr w:rsidR="0054567D" w:rsidRPr="00303EDE" w:rsidTr="00C0606E">
        <w:trPr>
          <w:trHeight w:val="1104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555869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0963C2" w:rsidRDefault="0054567D" w:rsidP="00F27965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963C2">
              <w:rPr>
                <w:rFonts w:ascii="Calibri" w:eastAsia="Times New Roman" w:hAnsi="Calibri" w:cs="Calibri"/>
                <w:b/>
                <w:sz w:val="16"/>
                <w:szCs w:val="16"/>
              </w:rPr>
              <w:t>Redazione conto del bilancio, conto economico e del patrimonio esercizio 2021</w:t>
            </w:r>
          </w:p>
          <w:p w:rsidR="0054567D" w:rsidRPr="000963C2" w:rsidRDefault="0054567D" w:rsidP="00F27965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0963C2" w:rsidP="000963C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15%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0963C2" w:rsidRDefault="0054567D" w:rsidP="008F343F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Predisposizione e approvazione dei documenti di rendicontazione entro i termini previsti dalla normativa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8F343F">
            <w:pPr>
              <w:spacing w:line="240" w:lineRule="auto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Redazione conto del bilancio, conto economico e del patrimonio esercizio 2021,  nel rispetto delle prescrizioni e dei termini di legge</w:t>
            </w:r>
          </w:p>
          <w:p w:rsidR="0054567D" w:rsidRPr="000963C2" w:rsidRDefault="0054567D" w:rsidP="008F343F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A8665B" w:rsidRDefault="0054567D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A8665B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31.04.2022</w:t>
            </w:r>
          </w:p>
        </w:tc>
      </w:tr>
      <w:tr w:rsidR="0054567D" w:rsidRPr="00303EDE" w:rsidTr="00C0606E">
        <w:trPr>
          <w:trHeight w:val="1104"/>
        </w:trPr>
        <w:tc>
          <w:tcPr>
            <w:tcW w:w="1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555869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1833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0963C2" w:rsidRDefault="0054567D" w:rsidP="00F27965">
            <w:pPr>
              <w:spacing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963C2">
              <w:rPr>
                <w:rFonts w:ascii="Calibri" w:eastAsia="Times New Roman" w:hAnsi="Calibri" w:cs="Calibri"/>
                <w:b/>
                <w:sz w:val="16"/>
                <w:szCs w:val="16"/>
              </w:rPr>
              <w:t>Monitoraggio e verifica salvaguardia equilibri di bilancio esercizio 2022</w:t>
            </w:r>
          </w:p>
        </w:tc>
        <w:tc>
          <w:tcPr>
            <w:tcW w:w="2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0963C2" w:rsidP="000963C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Cs/>
                <w:sz w:val="16"/>
                <w:szCs w:val="16"/>
              </w:rPr>
              <w:t>25%</w:t>
            </w:r>
          </w:p>
        </w:tc>
        <w:tc>
          <w:tcPr>
            <w:tcW w:w="1175" w:type="pct"/>
            <w:tcBorders>
              <w:top w:val="single" w:sz="8" w:space="0" w:color="4BACC6"/>
              <w:bottom w:val="single" w:sz="8" w:space="0" w:color="4BACC6"/>
            </w:tcBorders>
          </w:tcPr>
          <w:p w:rsidR="0054567D" w:rsidRPr="000963C2" w:rsidRDefault="0054567D" w:rsidP="008F343F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Predisposizione ed approvazione dei documenti di salvaguardia entro i termini previsti dalla normativa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0963C2" w:rsidRDefault="0054567D" w:rsidP="008F343F">
            <w:pPr>
              <w:jc w:val="both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0963C2">
              <w:rPr>
                <w:rFonts w:ascii="Calibri" w:hAnsi="Calibri" w:cs="Calibri"/>
                <w:b/>
                <w:iCs/>
                <w:sz w:val="16"/>
                <w:szCs w:val="16"/>
              </w:rPr>
              <w:t>Monitoraggio e verifica salvaguardia equilibri di bilancio esercizio 2022,  nel rispetto delle prescrizioni e dei termini di legge</w:t>
            </w:r>
          </w:p>
        </w:tc>
        <w:tc>
          <w:tcPr>
            <w:tcW w:w="3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4567D" w:rsidRPr="00A8665B" w:rsidRDefault="0054567D" w:rsidP="008F343F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A8665B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31/07/2022</w:t>
            </w:r>
          </w:p>
        </w:tc>
      </w:tr>
    </w:tbl>
    <w:p w:rsidR="00C0606E" w:rsidRDefault="00C0606E" w:rsidP="00F27965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p w:rsidR="00F27965" w:rsidRPr="00303EDE" w:rsidRDefault="00F27965" w:rsidP="00F27965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303EDE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</w:p>
    <w:tbl>
      <w:tblPr>
        <w:tblW w:w="5000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6" w:space="0" w:color="FFC000"/>
          <w:insideV w:val="single" w:sz="6" w:space="0" w:color="FFC000"/>
        </w:tblBorders>
        <w:tblLook w:val="0000"/>
      </w:tblPr>
      <w:tblGrid>
        <w:gridCol w:w="626"/>
        <w:gridCol w:w="4345"/>
        <w:gridCol w:w="8560"/>
        <w:gridCol w:w="972"/>
      </w:tblGrid>
      <w:tr w:rsidR="00F27965" w:rsidRPr="00303EDE" w:rsidTr="008F343F">
        <w:trPr>
          <w:trHeight w:val="213"/>
        </w:trPr>
        <w:tc>
          <w:tcPr>
            <w:tcW w:w="216" w:type="pct"/>
          </w:tcPr>
          <w:p w:rsidR="00F27965" w:rsidRPr="00303EDE" w:rsidRDefault="00F27965" w:rsidP="00244A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498" w:type="pct"/>
          </w:tcPr>
          <w:p w:rsidR="00F27965" w:rsidRPr="00303EDE" w:rsidRDefault="00F27965" w:rsidP="00244A8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Dipendenti</w:t>
            </w:r>
          </w:p>
        </w:tc>
        <w:tc>
          <w:tcPr>
            <w:tcW w:w="2951" w:type="pct"/>
          </w:tcPr>
          <w:p w:rsidR="00F27965" w:rsidRPr="00303EDE" w:rsidRDefault="00F27965" w:rsidP="00244A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335" w:type="pct"/>
          </w:tcPr>
          <w:p w:rsidR="00F27965" w:rsidRPr="00303EDE" w:rsidRDefault="00F27965" w:rsidP="00244A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3EDE">
              <w:rPr>
                <w:rFonts w:ascii="Calibri" w:hAnsi="Calibri" w:cs="Calibri"/>
                <w:b/>
                <w:bCs/>
                <w:sz w:val="16"/>
                <w:szCs w:val="16"/>
              </w:rPr>
              <w:t>Peso %</w:t>
            </w:r>
          </w:p>
        </w:tc>
      </w:tr>
      <w:tr w:rsidR="00F27965" w:rsidRPr="00303EDE" w:rsidTr="008F343F">
        <w:trPr>
          <w:trHeight w:val="213"/>
        </w:trPr>
        <w:tc>
          <w:tcPr>
            <w:tcW w:w="216" w:type="pct"/>
          </w:tcPr>
          <w:p w:rsidR="00F27965" w:rsidRPr="00303EDE" w:rsidRDefault="008A2C24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F27965" w:rsidRPr="00303EDE" w:rsidRDefault="008A2C24" w:rsidP="008A2C24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 Torre Maria Stella (Cat. B1)</w:t>
            </w:r>
          </w:p>
        </w:tc>
        <w:tc>
          <w:tcPr>
            <w:tcW w:w="2951" w:type="pct"/>
          </w:tcPr>
          <w:p w:rsidR="00F27965" w:rsidRPr="000A0D14" w:rsidRDefault="00F27965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Rispetto degli obblighi e adempimenti relativi alla Trasparenza, di cui al </w:t>
            </w:r>
            <w:proofErr w:type="spellStart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 con particolare riferimento all’accessibilità dei contenuti sul sito web dell’Ente e risposta alle richieste di accesso, nel rispetto del corretto trattamento dei dati personali.</w:t>
            </w:r>
          </w:p>
        </w:tc>
        <w:tc>
          <w:tcPr>
            <w:tcW w:w="335" w:type="pct"/>
          </w:tcPr>
          <w:p w:rsidR="00F27965" w:rsidRPr="00303EDE" w:rsidRDefault="00F27965" w:rsidP="00244A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2C24" w:rsidRPr="00303EDE" w:rsidTr="008F343F">
        <w:trPr>
          <w:trHeight w:val="213"/>
        </w:trPr>
        <w:tc>
          <w:tcPr>
            <w:tcW w:w="216" w:type="pct"/>
          </w:tcPr>
          <w:p w:rsidR="008A2C24" w:rsidRPr="00303EDE" w:rsidRDefault="008A2C24" w:rsidP="001624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8A2C24" w:rsidRPr="00303EDE" w:rsidRDefault="008A2C24" w:rsidP="0016240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 Torre Maria Stella (Cat. B1)</w:t>
            </w:r>
          </w:p>
        </w:tc>
        <w:tc>
          <w:tcPr>
            <w:tcW w:w="2951" w:type="pct"/>
          </w:tcPr>
          <w:p w:rsidR="008A2C24" w:rsidRPr="000A0D14" w:rsidRDefault="008A2C24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>Prevenzione della corruzione ai sensi della L 190/2012 e implementazione delle azioni previste nel piano triennale di prevenzione della corruzione.</w:t>
            </w:r>
          </w:p>
        </w:tc>
        <w:tc>
          <w:tcPr>
            <w:tcW w:w="335" w:type="pct"/>
          </w:tcPr>
          <w:p w:rsidR="008A2C24" w:rsidRPr="00303EDE" w:rsidRDefault="008A2C24" w:rsidP="00244A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2C24" w:rsidRPr="00303EDE" w:rsidTr="008F343F">
        <w:trPr>
          <w:trHeight w:val="213"/>
        </w:trPr>
        <w:tc>
          <w:tcPr>
            <w:tcW w:w="216" w:type="pct"/>
          </w:tcPr>
          <w:p w:rsidR="008A2C24" w:rsidRPr="00303EDE" w:rsidRDefault="008A2C24" w:rsidP="001624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8A2C24" w:rsidRPr="00303EDE" w:rsidRDefault="008A2C24" w:rsidP="0016240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 Torre Maria Stella (Cat. B1)</w:t>
            </w:r>
          </w:p>
        </w:tc>
        <w:tc>
          <w:tcPr>
            <w:tcW w:w="2951" w:type="pct"/>
          </w:tcPr>
          <w:p w:rsidR="008A2C24" w:rsidRPr="000A0D14" w:rsidRDefault="008A2C24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Processo di trasformazione digitale dei servizi dell’Ente: </w:t>
            </w:r>
            <w:r w:rsidRPr="00C565E7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Pr="00C565E7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viluppo dell'informatizzazione delle procedure.</w:t>
            </w:r>
          </w:p>
        </w:tc>
        <w:tc>
          <w:tcPr>
            <w:tcW w:w="335" w:type="pct"/>
          </w:tcPr>
          <w:p w:rsidR="008A2C24" w:rsidRPr="00303EDE" w:rsidRDefault="008A2C24" w:rsidP="00244A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995" w:rsidRPr="00303EDE" w:rsidTr="008F343F">
        <w:trPr>
          <w:trHeight w:val="213"/>
        </w:trPr>
        <w:tc>
          <w:tcPr>
            <w:tcW w:w="216" w:type="pct"/>
          </w:tcPr>
          <w:p w:rsidR="001F0995" w:rsidRPr="00303EDE" w:rsidRDefault="001F0995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98" w:type="pct"/>
          </w:tcPr>
          <w:p w:rsidR="001F0995" w:rsidRPr="00303EDE" w:rsidRDefault="001F0995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Galasso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Oreste (Cat. C) – Guglielmo Soccorsa (Cat. B1)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Laruffa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Pasquale (Cat. B1) – Violi Roberta (Cat. A)</w:t>
            </w:r>
          </w:p>
        </w:tc>
        <w:tc>
          <w:tcPr>
            <w:tcW w:w="2951" w:type="pct"/>
          </w:tcPr>
          <w:p w:rsidR="001F0995" w:rsidRPr="000A0D14" w:rsidRDefault="001F0995" w:rsidP="008F343F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>Monitoraggio del rispetto dei tempi medi di pagamento dei fornitori previsti dalla legge, attraverso una più tempestiva attività d’impegno e determinazione per la liquidazione consentendo all’ufficio ragioneria di emettere i mandati di pagamento in modo tempestivo rispettando l’ordine temporale di fatturazione.</w:t>
            </w:r>
          </w:p>
        </w:tc>
        <w:tc>
          <w:tcPr>
            <w:tcW w:w="335" w:type="pct"/>
          </w:tcPr>
          <w:p w:rsidR="001F0995" w:rsidRPr="000963C2" w:rsidRDefault="001F0995" w:rsidP="0016240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</w:tr>
      <w:tr w:rsidR="001F0995" w:rsidRPr="00303EDE" w:rsidTr="008F343F">
        <w:trPr>
          <w:trHeight w:val="213"/>
        </w:trPr>
        <w:tc>
          <w:tcPr>
            <w:tcW w:w="216" w:type="pct"/>
          </w:tcPr>
          <w:p w:rsidR="001F0995" w:rsidRDefault="001F0995" w:rsidP="008A2C24">
            <w:pPr>
              <w:jc w:val="center"/>
            </w:pPr>
            <w:r w:rsidRPr="001D5D0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1F0995" w:rsidRDefault="001F0995">
            <w:proofErr w:type="spellStart"/>
            <w:r w:rsidRPr="00EB4373">
              <w:rPr>
                <w:rFonts w:ascii="Calibri" w:hAnsi="Calibri" w:cs="Calibri"/>
                <w:sz w:val="16"/>
                <w:szCs w:val="16"/>
              </w:rPr>
              <w:t>Galasso</w:t>
            </w:r>
            <w:proofErr w:type="spellEnd"/>
            <w:r w:rsidRPr="00EB4373">
              <w:rPr>
                <w:rFonts w:ascii="Calibri" w:hAnsi="Calibri" w:cs="Calibri"/>
                <w:sz w:val="16"/>
                <w:szCs w:val="16"/>
              </w:rPr>
              <w:t xml:space="preserve"> Oreste (Cat. C) </w:t>
            </w:r>
          </w:p>
        </w:tc>
        <w:tc>
          <w:tcPr>
            <w:tcW w:w="2951" w:type="pct"/>
          </w:tcPr>
          <w:p w:rsidR="001F0995" w:rsidRPr="000A0D14" w:rsidRDefault="001F0995" w:rsidP="00F27965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>Redazione bilancio di previsione 2022/2024</w:t>
            </w:r>
          </w:p>
        </w:tc>
        <w:tc>
          <w:tcPr>
            <w:tcW w:w="335" w:type="pct"/>
          </w:tcPr>
          <w:p w:rsidR="001F0995" w:rsidRPr="000963C2" w:rsidRDefault="001F0995" w:rsidP="0016240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</w:tr>
      <w:tr w:rsidR="001F0995" w:rsidRPr="00303EDE" w:rsidTr="008F343F">
        <w:trPr>
          <w:trHeight w:val="213"/>
        </w:trPr>
        <w:tc>
          <w:tcPr>
            <w:tcW w:w="216" w:type="pct"/>
          </w:tcPr>
          <w:p w:rsidR="001F0995" w:rsidRDefault="001F0995" w:rsidP="008A2C24">
            <w:pPr>
              <w:jc w:val="center"/>
            </w:pPr>
            <w:r w:rsidRPr="001D5D0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1F0995" w:rsidRDefault="001F0995">
            <w:proofErr w:type="spellStart"/>
            <w:r w:rsidRPr="00EB4373">
              <w:rPr>
                <w:rFonts w:ascii="Calibri" w:hAnsi="Calibri" w:cs="Calibri"/>
                <w:sz w:val="16"/>
                <w:szCs w:val="16"/>
              </w:rPr>
              <w:t>Galasso</w:t>
            </w:r>
            <w:proofErr w:type="spellEnd"/>
            <w:r w:rsidRPr="00EB4373">
              <w:rPr>
                <w:rFonts w:ascii="Calibri" w:hAnsi="Calibri" w:cs="Calibri"/>
                <w:sz w:val="16"/>
                <w:szCs w:val="16"/>
              </w:rPr>
              <w:t xml:space="preserve"> Oreste (Cat. C) </w:t>
            </w:r>
          </w:p>
        </w:tc>
        <w:tc>
          <w:tcPr>
            <w:tcW w:w="2951" w:type="pct"/>
          </w:tcPr>
          <w:p w:rsidR="001F0995" w:rsidRPr="000A0D14" w:rsidRDefault="001F0995" w:rsidP="008F343F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>Riaccertamento</w:t>
            </w:r>
            <w:proofErr w:type="spellEnd"/>
            <w:r w:rsidRPr="000A0D14">
              <w:rPr>
                <w:rFonts w:ascii="Calibri" w:hAnsi="Calibri" w:cs="Calibri"/>
                <w:b/>
                <w:sz w:val="16"/>
                <w:szCs w:val="16"/>
              </w:rPr>
              <w:t xml:space="preserve"> ordinario dei residui</w:t>
            </w:r>
          </w:p>
        </w:tc>
        <w:tc>
          <w:tcPr>
            <w:tcW w:w="335" w:type="pct"/>
          </w:tcPr>
          <w:p w:rsidR="001F0995" w:rsidRPr="000963C2" w:rsidRDefault="001F0995" w:rsidP="0016240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</w:tr>
      <w:tr w:rsidR="001F0995" w:rsidRPr="00303EDE" w:rsidTr="008F343F">
        <w:trPr>
          <w:trHeight w:val="213"/>
        </w:trPr>
        <w:tc>
          <w:tcPr>
            <w:tcW w:w="216" w:type="pct"/>
          </w:tcPr>
          <w:p w:rsidR="001F0995" w:rsidRDefault="001F0995" w:rsidP="008A2C24">
            <w:pPr>
              <w:jc w:val="center"/>
            </w:pPr>
            <w:r w:rsidRPr="001D5D0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1F0995" w:rsidRDefault="001F0995">
            <w:proofErr w:type="spellStart"/>
            <w:r w:rsidRPr="00EB4373">
              <w:rPr>
                <w:rFonts w:ascii="Calibri" w:hAnsi="Calibri" w:cs="Calibri"/>
                <w:sz w:val="16"/>
                <w:szCs w:val="16"/>
              </w:rPr>
              <w:t>Galasso</w:t>
            </w:r>
            <w:proofErr w:type="spellEnd"/>
            <w:r w:rsidRPr="00EB4373">
              <w:rPr>
                <w:rFonts w:ascii="Calibri" w:hAnsi="Calibri" w:cs="Calibri"/>
                <w:sz w:val="16"/>
                <w:szCs w:val="16"/>
              </w:rPr>
              <w:t xml:space="preserve"> Oreste (Cat. C) </w:t>
            </w:r>
          </w:p>
        </w:tc>
        <w:tc>
          <w:tcPr>
            <w:tcW w:w="2951" w:type="pct"/>
          </w:tcPr>
          <w:p w:rsidR="001F0995" w:rsidRPr="000A0D14" w:rsidRDefault="001F0995" w:rsidP="00F27965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0A0D14">
              <w:rPr>
                <w:rFonts w:ascii="Calibri" w:hAnsi="Calibri" w:cs="Calibri"/>
                <w:b/>
                <w:sz w:val="16"/>
                <w:szCs w:val="16"/>
              </w:rPr>
              <w:t>Redazione conto del bilancio, conto economico e del patrimonio esercizio 2021</w:t>
            </w:r>
          </w:p>
        </w:tc>
        <w:tc>
          <w:tcPr>
            <w:tcW w:w="335" w:type="pct"/>
          </w:tcPr>
          <w:p w:rsidR="001F0995" w:rsidRPr="000963C2" w:rsidRDefault="001F0995" w:rsidP="0016240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</w:tr>
      <w:tr w:rsidR="001F0995" w:rsidRPr="00303EDE" w:rsidTr="008F343F">
        <w:trPr>
          <w:trHeight w:val="213"/>
        </w:trPr>
        <w:tc>
          <w:tcPr>
            <w:tcW w:w="216" w:type="pct"/>
          </w:tcPr>
          <w:p w:rsidR="001F0995" w:rsidRDefault="001F0995" w:rsidP="00162402">
            <w:pPr>
              <w:jc w:val="center"/>
            </w:pPr>
            <w:r w:rsidRPr="001D5D0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1F0995" w:rsidRDefault="001F0995" w:rsidP="00162402">
            <w:proofErr w:type="spellStart"/>
            <w:r w:rsidRPr="00EB4373">
              <w:rPr>
                <w:rFonts w:ascii="Calibri" w:hAnsi="Calibri" w:cs="Calibri"/>
                <w:sz w:val="16"/>
                <w:szCs w:val="16"/>
              </w:rPr>
              <w:t>Galasso</w:t>
            </w:r>
            <w:proofErr w:type="spellEnd"/>
            <w:r w:rsidRPr="00EB4373">
              <w:rPr>
                <w:rFonts w:ascii="Calibri" w:hAnsi="Calibri" w:cs="Calibri"/>
                <w:sz w:val="16"/>
                <w:szCs w:val="16"/>
              </w:rPr>
              <w:t xml:space="preserve"> Oreste (Cat. C) </w:t>
            </w:r>
          </w:p>
        </w:tc>
        <w:tc>
          <w:tcPr>
            <w:tcW w:w="2951" w:type="pct"/>
          </w:tcPr>
          <w:p w:rsidR="001F0995" w:rsidRPr="000A0D14" w:rsidRDefault="001F0995" w:rsidP="00F27965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0963C2">
              <w:rPr>
                <w:rFonts w:ascii="Calibri" w:eastAsia="Times New Roman" w:hAnsi="Calibri" w:cs="Calibri"/>
                <w:b/>
                <w:sz w:val="16"/>
                <w:szCs w:val="16"/>
              </w:rPr>
              <w:t>Monitoraggio e verifica salvaguardia equilibri di bilancio esercizio 2022</w:t>
            </w:r>
          </w:p>
        </w:tc>
        <w:tc>
          <w:tcPr>
            <w:tcW w:w="335" w:type="pct"/>
          </w:tcPr>
          <w:p w:rsidR="001F0995" w:rsidRPr="000963C2" w:rsidRDefault="001F0995" w:rsidP="00162402">
            <w:pPr>
              <w:jc w:val="center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</w:tr>
    </w:tbl>
    <w:p w:rsidR="00BF26F5" w:rsidRDefault="00BF26F5" w:rsidP="00D66282"/>
    <w:sectPr w:rsidR="00BF26F5" w:rsidSect="00BF26F5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D9E"/>
    <w:multiLevelType w:val="hybridMultilevel"/>
    <w:tmpl w:val="62A8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112F7"/>
    <w:rsid w:val="000112F7"/>
    <w:rsid w:val="000963C2"/>
    <w:rsid w:val="000A0D14"/>
    <w:rsid w:val="0014402E"/>
    <w:rsid w:val="001F0995"/>
    <w:rsid w:val="002167A7"/>
    <w:rsid w:val="00244A8C"/>
    <w:rsid w:val="00252B22"/>
    <w:rsid w:val="00303EDE"/>
    <w:rsid w:val="00400FFC"/>
    <w:rsid w:val="004A093F"/>
    <w:rsid w:val="0054567D"/>
    <w:rsid w:val="006604C1"/>
    <w:rsid w:val="006624BC"/>
    <w:rsid w:val="00781D02"/>
    <w:rsid w:val="008A2C24"/>
    <w:rsid w:val="00A8665B"/>
    <w:rsid w:val="00BB6D84"/>
    <w:rsid w:val="00BD3F6D"/>
    <w:rsid w:val="00BF26F5"/>
    <w:rsid w:val="00C0606E"/>
    <w:rsid w:val="00C565E7"/>
    <w:rsid w:val="00CA551F"/>
    <w:rsid w:val="00CE4778"/>
    <w:rsid w:val="00D654D3"/>
    <w:rsid w:val="00D66282"/>
    <w:rsid w:val="00F10434"/>
    <w:rsid w:val="00F27965"/>
    <w:rsid w:val="00FA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B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0112F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EDEF-1082-473A-9E8F-DE56A31F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SIC</cp:lastModifiedBy>
  <cp:revision>23</cp:revision>
  <cp:lastPrinted>2022-02-28T15:06:00Z</cp:lastPrinted>
  <dcterms:created xsi:type="dcterms:W3CDTF">2022-02-28T10:53:00Z</dcterms:created>
  <dcterms:modified xsi:type="dcterms:W3CDTF">2022-03-07T11:48:00Z</dcterms:modified>
</cp:coreProperties>
</file>